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3A" w:rsidRDefault="008E7D3A" w:rsidP="008E7D3A">
      <w:pPr>
        <w:spacing w:before="240" w:after="240"/>
        <w:jc w:val="both"/>
        <w:rPr>
          <w:b/>
          <w:highlight w:val="white"/>
        </w:rPr>
      </w:pPr>
      <w:r>
        <w:rPr>
          <w:b/>
          <w:highlight w:val="white"/>
        </w:rPr>
        <w:t xml:space="preserve">SOLICITUD MORATORIA ALQUILER GRANDES TENEDORES </w:t>
      </w:r>
    </w:p>
    <w:p w:rsidR="008E7D3A" w:rsidRPr="008E7D3A" w:rsidRDefault="008E7D3A" w:rsidP="008E7D3A">
      <w:pPr>
        <w:spacing w:before="240" w:after="200"/>
        <w:jc w:val="both"/>
        <w:rPr>
          <w:color w:val="FF0000"/>
          <w:highlight w:val="white"/>
        </w:rPr>
      </w:pPr>
      <w:r w:rsidRPr="008E7D3A">
        <w:rPr>
          <w:color w:val="FF0000"/>
          <w:highlight w:val="white"/>
        </w:rPr>
        <w:t>Entidad bancaria, sociedad, inmobiliaria o particular, calle XXXXX núm. XXX de localidad.</w:t>
      </w:r>
    </w:p>
    <w:p w:rsidR="008E7D3A" w:rsidRDefault="008E7D3A" w:rsidP="008E7D3A">
      <w:pPr>
        <w:spacing w:before="240" w:after="200"/>
        <w:jc w:val="both"/>
        <w:rPr>
          <w:highlight w:val="white"/>
        </w:rPr>
      </w:pPr>
      <w:r>
        <w:rPr>
          <w:highlight w:val="white"/>
        </w:rPr>
        <w:t xml:space="preserve"> </w:t>
      </w:r>
    </w:p>
    <w:p w:rsidR="008E7D3A" w:rsidRDefault="008E7D3A" w:rsidP="008E7D3A">
      <w:pPr>
        <w:spacing w:before="240" w:after="200"/>
        <w:jc w:val="both"/>
        <w:rPr>
          <w:highlight w:val="white"/>
        </w:rPr>
      </w:pPr>
      <w:r w:rsidRPr="008E7D3A">
        <w:rPr>
          <w:color w:val="FF0000"/>
          <w:highlight w:val="white"/>
        </w:rPr>
        <w:t>Nombre afectado 1,</w:t>
      </w:r>
      <w:r>
        <w:rPr>
          <w:highlight w:val="white"/>
        </w:rPr>
        <w:t xml:space="preserve"> mayor de edad, con domicilio a efectos de notificaciones en la calle </w:t>
      </w:r>
      <w:r w:rsidRPr="008E7D3A">
        <w:rPr>
          <w:color w:val="FF0000"/>
          <w:highlight w:val="white"/>
        </w:rPr>
        <w:t>XXXXXX</w:t>
      </w:r>
      <w:r>
        <w:rPr>
          <w:highlight w:val="white"/>
        </w:rPr>
        <w:t xml:space="preserve"> número </w:t>
      </w:r>
      <w:r w:rsidRPr="008E7D3A">
        <w:rPr>
          <w:color w:val="FF0000"/>
          <w:highlight w:val="white"/>
        </w:rPr>
        <w:t>XX</w:t>
      </w:r>
      <w:r>
        <w:rPr>
          <w:highlight w:val="white"/>
        </w:rPr>
        <w:t xml:space="preserve">, piso </w:t>
      </w:r>
      <w:r w:rsidRPr="008E7D3A">
        <w:rPr>
          <w:color w:val="FF0000"/>
          <w:highlight w:val="white"/>
        </w:rPr>
        <w:t>XX</w:t>
      </w:r>
      <w:r>
        <w:rPr>
          <w:highlight w:val="white"/>
        </w:rPr>
        <w:t xml:space="preserve"> de </w:t>
      </w:r>
      <w:r w:rsidRPr="008E7D3A">
        <w:rPr>
          <w:color w:val="FF0000"/>
          <w:highlight w:val="white"/>
        </w:rPr>
        <w:t>localidad,</w:t>
      </w:r>
      <w:r>
        <w:rPr>
          <w:highlight w:val="white"/>
        </w:rPr>
        <w:t xml:space="preserve"> con D.N.I./N.I.E.</w:t>
      </w:r>
      <w:r w:rsidRPr="008E7D3A">
        <w:rPr>
          <w:color w:val="FF0000"/>
          <w:highlight w:val="white"/>
        </w:rPr>
        <w:t xml:space="preserve"> XXXXXXX</w:t>
      </w:r>
      <w:r>
        <w:rPr>
          <w:highlight w:val="white"/>
        </w:rPr>
        <w:t xml:space="preserve">, y </w:t>
      </w:r>
      <w:r w:rsidRPr="008E7D3A">
        <w:rPr>
          <w:color w:val="FF0000"/>
          <w:highlight w:val="white"/>
        </w:rPr>
        <w:t>Nombre</w:t>
      </w:r>
      <w:r>
        <w:rPr>
          <w:color w:val="00B050"/>
          <w:highlight w:val="white"/>
        </w:rPr>
        <w:t xml:space="preserve"> </w:t>
      </w:r>
      <w:r w:rsidRPr="008E7D3A">
        <w:rPr>
          <w:color w:val="FF0000"/>
          <w:highlight w:val="white"/>
        </w:rPr>
        <w:t>afectada 2</w:t>
      </w:r>
      <w:r>
        <w:rPr>
          <w:highlight w:val="white"/>
        </w:rPr>
        <w:t xml:space="preserve">, mayor de edad, con domicilio a efectos de notificaciones en la calle </w:t>
      </w:r>
      <w:r w:rsidRPr="008E7D3A">
        <w:rPr>
          <w:color w:val="FF0000"/>
          <w:highlight w:val="white"/>
        </w:rPr>
        <w:t xml:space="preserve">XXXX </w:t>
      </w:r>
      <w:r>
        <w:rPr>
          <w:highlight w:val="white"/>
        </w:rPr>
        <w:t xml:space="preserve">número </w:t>
      </w:r>
      <w:r w:rsidRPr="008E7D3A">
        <w:rPr>
          <w:color w:val="FF0000"/>
          <w:highlight w:val="white"/>
        </w:rPr>
        <w:t>XXXXXX,</w:t>
      </w:r>
      <w:r>
        <w:rPr>
          <w:highlight w:val="white"/>
        </w:rPr>
        <w:t xml:space="preserve"> piso </w:t>
      </w:r>
      <w:r w:rsidRPr="008E7D3A">
        <w:rPr>
          <w:color w:val="FF0000"/>
          <w:highlight w:val="white"/>
        </w:rPr>
        <w:t>XX</w:t>
      </w:r>
      <w:r>
        <w:rPr>
          <w:highlight w:val="white"/>
        </w:rPr>
        <w:t xml:space="preserve"> de </w:t>
      </w:r>
      <w:r w:rsidRPr="008E7D3A">
        <w:rPr>
          <w:color w:val="FF0000"/>
          <w:highlight w:val="white"/>
        </w:rPr>
        <w:t>localidad,</w:t>
      </w:r>
      <w:r>
        <w:rPr>
          <w:highlight w:val="white"/>
        </w:rPr>
        <w:t xml:space="preserve"> con D.N.I./N.I.E. </w:t>
      </w:r>
      <w:r w:rsidRPr="008E7D3A">
        <w:rPr>
          <w:color w:val="FF0000"/>
          <w:highlight w:val="white"/>
        </w:rPr>
        <w:t>XXXXXXX,</w:t>
      </w:r>
      <w:r>
        <w:rPr>
          <w:color w:val="00B050"/>
          <w:highlight w:val="white"/>
        </w:rPr>
        <w:t xml:space="preserve"> </w:t>
      </w:r>
      <w:r>
        <w:rPr>
          <w:highlight w:val="white"/>
        </w:rPr>
        <w:t>comparecemos y, de la mejor manera:</w:t>
      </w:r>
    </w:p>
    <w:p w:rsidR="008E7D3A" w:rsidRDefault="008E7D3A" w:rsidP="008E7D3A">
      <w:pPr>
        <w:spacing w:before="240" w:after="200"/>
        <w:jc w:val="center"/>
        <w:rPr>
          <w:b/>
          <w:highlight w:val="white"/>
        </w:rPr>
      </w:pPr>
      <w:r>
        <w:rPr>
          <w:b/>
          <w:highlight w:val="white"/>
        </w:rPr>
        <w:t>DECLARAMOS</w:t>
      </w:r>
    </w:p>
    <w:p w:rsidR="008E7D3A" w:rsidRDefault="008E7D3A" w:rsidP="008E7D3A">
      <w:pPr>
        <w:spacing w:before="240" w:after="240"/>
        <w:jc w:val="both"/>
        <w:rPr>
          <w:highlight w:val="white"/>
        </w:rPr>
      </w:pPr>
      <w:r>
        <w:rPr>
          <w:b/>
          <w:highlight w:val="white"/>
        </w:rPr>
        <w:t>Primero.-</w:t>
      </w:r>
      <w:r>
        <w:rPr>
          <w:highlight w:val="white"/>
        </w:rPr>
        <w:t xml:space="preserve"> Que, por causa del estallido de la crisis de la COVID-19, de la declaración del estado de alarma y la situación de confinamiento y restricciones en la actividad económica, nos es imposible hacer frente a los pagos de las cuotas mensuales en concepto de renta para el alquiler establecidas en el contrato de alquiler. </w:t>
      </w:r>
    </w:p>
    <w:p w:rsidR="008E7D3A" w:rsidRDefault="008E7D3A" w:rsidP="008E7D3A">
      <w:pPr>
        <w:spacing w:before="240" w:after="240"/>
        <w:jc w:val="both"/>
        <w:rPr>
          <w:highlight w:val="white"/>
        </w:rPr>
      </w:pPr>
      <w:r>
        <w:rPr>
          <w:b/>
          <w:highlight w:val="white"/>
        </w:rPr>
        <w:t>Segundo.-</w:t>
      </w:r>
      <w:r>
        <w:rPr>
          <w:highlight w:val="white"/>
        </w:rPr>
        <w:t xml:space="preserve"> Que el día 2 de abril de 2020 entró en vigor el Real Decreto-ley 11/2020, de 31 de marzo, por el que se adoptan medidas urgentes complementarias en el ámbito social y económico para hacer frente a la COVID- 19, que incluye algunos mecanismos para afrontar las posibles situaciones de impagos en casos de arrendamientos de grandes tenedores cuando los arrendadores se encuentren en situación de vulnerabilidad económica.</w:t>
      </w:r>
    </w:p>
    <w:p w:rsidR="008E7D3A" w:rsidRDefault="008E7D3A" w:rsidP="008E7D3A">
      <w:pPr>
        <w:spacing w:before="240" w:after="240"/>
        <w:jc w:val="both"/>
        <w:rPr>
          <w:highlight w:val="white"/>
        </w:rPr>
      </w:pPr>
      <w:r>
        <w:rPr>
          <w:b/>
          <w:highlight w:val="white"/>
        </w:rPr>
        <w:t>Tercero.-</w:t>
      </w:r>
      <w:r>
        <w:rPr>
          <w:highlight w:val="white"/>
        </w:rPr>
        <w:t xml:space="preserve"> Que, siendo así, nos encontramos dentro de los supuestos de vulnerabilidad económica establecidos en el artículo 5 del Real Decreto-ley 11/2020, tal como se acredita en los documentos adjuntos a la presente solicitud.</w:t>
      </w:r>
    </w:p>
    <w:p w:rsidR="008E7D3A" w:rsidRDefault="008E7D3A" w:rsidP="008E7D3A">
      <w:pPr>
        <w:spacing w:before="240" w:after="240"/>
        <w:jc w:val="both"/>
        <w:rPr>
          <w:highlight w:val="white"/>
        </w:rPr>
      </w:pPr>
      <w:r>
        <w:rPr>
          <w:b/>
          <w:highlight w:val="white"/>
        </w:rPr>
        <w:t xml:space="preserve">Cuarto.- </w:t>
      </w:r>
      <w:r>
        <w:rPr>
          <w:highlight w:val="white"/>
        </w:rPr>
        <w:t>Que el artículo 3 del RDL 11/2020 establece el derecho a disfrutar de una moratoria por la deuda en el alquiler en caso de incurrir en los supuestos de vulnerabilidad establecidos por el mismo.</w:t>
      </w:r>
    </w:p>
    <w:p w:rsidR="008E7D3A" w:rsidRDefault="008E7D3A" w:rsidP="008E7D3A">
      <w:pPr>
        <w:spacing w:before="240" w:after="240"/>
        <w:jc w:val="both"/>
        <w:rPr>
          <w:highlight w:val="white"/>
        </w:rPr>
      </w:pPr>
      <w:r>
        <w:rPr>
          <w:b/>
          <w:highlight w:val="white"/>
        </w:rPr>
        <w:t>Quinto.-</w:t>
      </w:r>
      <w:r>
        <w:rPr>
          <w:highlight w:val="white"/>
        </w:rPr>
        <w:t xml:space="preserve"> Que, a su vez, el artículo 4 ‒Aplicación automática de la moratoria de la deuda arrendaticia en caso de grandes tenedores y empresas o entidades públicas de vivienda‒ establece que el inquilino tendrá derecho a realizar esta solicitud al arrendador cuando este sea una empresa o entidad pública de vivienda o un gran tenedor, entendiendo este último como una persona física o jurídica titular de más de 10 inmuebles urbanos, excluyendo garajes y trasteros, o de una superficie construida de más de 1.500 m², en el plazo de un mes desde la entrada en vigor del Real Decreto-ley. Esta medida también se aplicará a todos los arriendos correspondientes al Fondo Social de Vivienda derivado del Real Decreto-ley 27/2012, de 15 de noviembre, de medidas urgentes para reforzar la protección a los deudores hipotecarios.</w:t>
      </w:r>
    </w:p>
    <w:p w:rsidR="008E7D3A" w:rsidRDefault="008E7D3A" w:rsidP="008E7D3A">
      <w:pPr>
        <w:spacing w:before="240" w:after="240"/>
        <w:jc w:val="both"/>
        <w:rPr>
          <w:highlight w:val="white"/>
        </w:rPr>
      </w:pPr>
      <w:r>
        <w:rPr>
          <w:b/>
          <w:highlight w:val="white"/>
        </w:rPr>
        <w:lastRenderedPageBreak/>
        <w:t>Sexto.-</w:t>
      </w:r>
      <w:r>
        <w:rPr>
          <w:highlight w:val="white"/>
        </w:rPr>
        <w:t xml:space="preserve"> Que la norma promueve el acuerdo voluntario entre las partes, instando a una condonación total o parcial de la deuda, o un aplazamiento temporal del pago de esta (artículo 4.1). </w:t>
      </w:r>
    </w:p>
    <w:p w:rsidR="008E7D3A" w:rsidRDefault="008E7D3A" w:rsidP="008E7D3A">
      <w:pPr>
        <w:spacing w:before="240" w:after="240"/>
        <w:jc w:val="both"/>
        <w:rPr>
          <w:highlight w:val="white"/>
        </w:rPr>
      </w:pPr>
      <w:r>
        <w:rPr>
          <w:b/>
          <w:highlight w:val="white"/>
        </w:rPr>
        <w:t xml:space="preserve">Séptimo.- </w:t>
      </w:r>
      <w:r>
        <w:rPr>
          <w:highlight w:val="white"/>
        </w:rPr>
        <w:t>Que, en caso de que no se llegue a ningún acuerdo, se podrá escoger entre las siguientes opciones:</w:t>
      </w:r>
    </w:p>
    <w:p w:rsidR="008E7D3A" w:rsidRDefault="008E7D3A" w:rsidP="008E7D3A">
      <w:pPr>
        <w:numPr>
          <w:ilvl w:val="0"/>
          <w:numId w:val="32"/>
        </w:numPr>
        <w:spacing w:before="240"/>
        <w:jc w:val="both"/>
        <w:rPr>
          <w:highlight w:val="white"/>
        </w:rPr>
      </w:pPr>
      <w:r>
        <w:rPr>
          <w:highlight w:val="white"/>
        </w:rPr>
        <w:t>Una reducción del 50% de la renta mensual durante el tiempo que dure el estado de alarma y con un máximo de 4 meses.</w:t>
      </w:r>
    </w:p>
    <w:p w:rsidR="008E7D3A" w:rsidRDefault="008E7D3A" w:rsidP="008E7D3A">
      <w:pPr>
        <w:numPr>
          <w:ilvl w:val="0"/>
          <w:numId w:val="32"/>
        </w:numPr>
        <w:spacing w:after="240"/>
        <w:jc w:val="both"/>
        <w:rPr>
          <w:highlight w:val="white"/>
        </w:rPr>
      </w:pPr>
      <w:r>
        <w:rPr>
          <w:highlight w:val="white"/>
        </w:rPr>
        <w:t xml:space="preserve">Una moratoria en el pago de la renta que se aplicará de manera automática durante el período de tiempo que dure el estado de alarma y con un máximo de 4 meses. Esta renta se aplazará a partir de la siguiente mensualidad, mediante el fraccionamiento de las cuotas durante al menos tres años (sin devengar intereses). </w:t>
      </w:r>
    </w:p>
    <w:p w:rsidR="008E7D3A" w:rsidRDefault="00B43521" w:rsidP="008E7D3A">
      <w:pPr>
        <w:spacing w:before="240" w:after="240"/>
        <w:jc w:val="both"/>
        <w:rPr>
          <w:highlight w:val="white"/>
        </w:rPr>
      </w:pPr>
      <w:r>
        <w:rPr>
          <w:b/>
          <w:highlight w:val="white"/>
        </w:rPr>
        <w:t>Octavo</w:t>
      </w:r>
      <w:r w:rsidR="008E7D3A">
        <w:rPr>
          <w:b/>
          <w:highlight w:val="white"/>
        </w:rPr>
        <w:t>.-</w:t>
      </w:r>
      <w:r w:rsidR="008E7D3A">
        <w:rPr>
          <w:highlight w:val="white"/>
        </w:rPr>
        <w:t xml:space="preserve"> Que el acceso a estas medidas no excluye en un futuro la posibilidad de acogernos a lo que establece la Ley 24/2015, del 29 de julio, de medidas urgentes para afrontar la emergencia en el ámbito de la vivienda y la pobreza energética, respecto a la obligación de ofrecer un alquiler social en los casos de grandes tenedores, e impagos y finalización de contratos de alquiler.</w:t>
      </w:r>
    </w:p>
    <w:p w:rsidR="008E7D3A" w:rsidRDefault="008E7D3A" w:rsidP="008E7D3A">
      <w:pPr>
        <w:spacing w:before="240" w:after="240"/>
        <w:jc w:val="both"/>
        <w:rPr>
          <w:highlight w:val="white"/>
        </w:rPr>
      </w:pPr>
    </w:p>
    <w:p w:rsidR="008E7D3A" w:rsidRDefault="008E7D3A" w:rsidP="008E7D3A">
      <w:pPr>
        <w:spacing w:before="240" w:after="240"/>
        <w:jc w:val="both"/>
        <w:rPr>
          <w:highlight w:val="white"/>
        </w:rPr>
      </w:pPr>
      <w:r>
        <w:rPr>
          <w:highlight w:val="white"/>
        </w:rPr>
        <w:t xml:space="preserve">Por tal cosa, </w:t>
      </w:r>
    </w:p>
    <w:p w:rsidR="008E7D3A" w:rsidRDefault="008E7D3A" w:rsidP="008E7D3A">
      <w:pPr>
        <w:spacing w:before="240" w:after="240"/>
        <w:jc w:val="center"/>
        <w:rPr>
          <w:b/>
          <w:highlight w:val="white"/>
        </w:rPr>
      </w:pPr>
      <w:r>
        <w:rPr>
          <w:b/>
          <w:highlight w:val="white"/>
        </w:rPr>
        <w:t>SOLICITAMOS</w:t>
      </w:r>
    </w:p>
    <w:p w:rsidR="008E7D3A" w:rsidRDefault="008E7D3A" w:rsidP="008E7D3A">
      <w:pPr>
        <w:numPr>
          <w:ilvl w:val="0"/>
          <w:numId w:val="31"/>
        </w:numPr>
        <w:spacing w:before="240"/>
        <w:jc w:val="both"/>
        <w:rPr>
          <w:highlight w:val="white"/>
        </w:rPr>
      </w:pPr>
      <w:r>
        <w:rPr>
          <w:highlight w:val="white"/>
        </w:rPr>
        <w:t>Que se proceda a conceder la condonación total de las rentas arrendaticias correspondientes a los meses en los que esté vigente el estado de alarma, decretado por el Gobierno central.</w:t>
      </w:r>
    </w:p>
    <w:p w:rsidR="008E7D3A" w:rsidRDefault="008E7D3A" w:rsidP="008E7D3A">
      <w:pPr>
        <w:numPr>
          <w:ilvl w:val="0"/>
          <w:numId w:val="31"/>
        </w:numPr>
        <w:jc w:val="both"/>
        <w:rPr>
          <w:highlight w:val="white"/>
        </w:rPr>
      </w:pPr>
      <w:r>
        <w:rPr>
          <w:highlight w:val="white"/>
        </w:rPr>
        <w:t>Que se ofrezca una respuesta de manera fehaciente en los próximos 7 días laborables, tal como establece el artículo 4.2 del Real Decreto-ley 11/2020.</w:t>
      </w:r>
    </w:p>
    <w:p w:rsidR="008E7D3A" w:rsidRDefault="008E7D3A" w:rsidP="008E7D3A">
      <w:pPr>
        <w:numPr>
          <w:ilvl w:val="0"/>
          <w:numId w:val="31"/>
        </w:numPr>
        <w:spacing w:after="240"/>
        <w:jc w:val="both"/>
        <w:rPr>
          <w:highlight w:val="white"/>
        </w:rPr>
      </w:pPr>
      <w:r>
        <w:rPr>
          <w:highlight w:val="white"/>
        </w:rPr>
        <w:t>Que, en caso de que la propiedad no esté obligada a aplicar la moratoria por no tratarse de uno de los supuestos del artículo 4.1 de la citada norma, es decir, en el caso de que no se trate de un gran tenedor, se acredite por su parte debidamente y, siendo así, se procure un acuerdo.</w:t>
      </w:r>
    </w:p>
    <w:p w:rsidR="008E7D3A" w:rsidRDefault="008E7D3A" w:rsidP="008E7D3A">
      <w:pPr>
        <w:spacing w:before="240" w:after="240"/>
        <w:ind w:left="720"/>
        <w:jc w:val="both"/>
        <w:rPr>
          <w:highlight w:val="white"/>
        </w:rPr>
      </w:pPr>
    </w:p>
    <w:p w:rsidR="008E7D3A" w:rsidRDefault="008E7D3A" w:rsidP="008E7D3A">
      <w:pPr>
        <w:spacing w:before="240" w:after="200"/>
        <w:jc w:val="both"/>
        <w:rPr>
          <w:highlight w:val="white"/>
        </w:rPr>
      </w:pPr>
      <w:r>
        <w:rPr>
          <w:highlight w:val="white"/>
        </w:rPr>
        <w:t>Atentamente,</w:t>
      </w:r>
    </w:p>
    <w:p w:rsidR="008E7D3A" w:rsidRPr="008E7D3A" w:rsidRDefault="008E7D3A" w:rsidP="008E7D3A">
      <w:pPr>
        <w:spacing w:before="240" w:after="200"/>
        <w:jc w:val="both"/>
        <w:rPr>
          <w:color w:val="FF0000"/>
          <w:highlight w:val="white"/>
        </w:rPr>
      </w:pPr>
      <w:proofErr w:type="gramStart"/>
      <w:r w:rsidRPr="008E7D3A">
        <w:rPr>
          <w:color w:val="FF0000"/>
          <w:highlight w:val="white"/>
        </w:rPr>
        <w:t>firmas</w:t>
      </w:r>
      <w:proofErr w:type="gramEnd"/>
    </w:p>
    <w:p w:rsidR="008E7D3A" w:rsidRPr="008E7D3A" w:rsidRDefault="008E7D3A" w:rsidP="008E7D3A">
      <w:pPr>
        <w:spacing w:before="240" w:after="240"/>
        <w:jc w:val="both"/>
        <w:rPr>
          <w:color w:val="FF0000"/>
          <w:highlight w:val="white"/>
        </w:rPr>
      </w:pPr>
      <w:r w:rsidRPr="008E7D3A">
        <w:rPr>
          <w:color w:val="FF0000"/>
          <w:highlight w:val="white"/>
        </w:rPr>
        <w:t>Nombre afectada 1 y Nombre afectado 2</w:t>
      </w:r>
    </w:p>
    <w:p w:rsidR="008E7D3A" w:rsidRPr="008E7D3A" w:rsidRDefault="008E7D3A" w:rsidP="008E7D3A">
      <w:pPr>
        <w:spacing w:before="240" w:after="240"/>
        <w:jc w:val="both"/>
        <w:rPr>
          <w:color w:val="FF0000"/>
          <w:highlight w:val="white"/>
        </w:rPr>
      </w:pPr>
      <w:r w:rsidRPr="008E7D3A">
        <w:rPr>
          <w:color w:val="FF0000"/>
          <w:highlight w:val="white"/>
        </w:rPr>
        <w:t>Teléfono de contacto</w:t>
      </w:r>
    </w:p>
    <w:p w:rsidR="008E7D3A" w:rsidRPr="008E7D3A" w:rsidRDefault="008E7D3A" w:rsidP="008E7D3A">
      <w:pPr>
        <w:spacing w:before="240" w:after="240"/>
        <w:jc w:val="both"/>
        <w:rPr>
          <w:color w:val="FF0000"/>
        </w:rPr>
      </w:pPr>
      <w:r w:rsidRPr="008E7D3A">
        <w:rPr>
          <w:color w:val="FF0000"/>
          <w:highlight w:val="white"/>
        </w:rPr>
        <w:lastRenderedPageBreak/>
        <w:t>Localidad, a XX de XX de 20XX</w:t>
      </w:r>
    </w:p>
    <w:p w:rsidR="007A36AE" w:rsidRPr="00A3602B" w:rsidRDefault="007A36AE" w:rsidP="00A3602B">
      <w:pPr>
        <w:rPr>
          <w:sz w:val="24"/>
        </w:rPr>
      </w:pPr>
    </w:p>
    <w:sectPr w:rsidR="007A36AE" w:rsidRPr="00A3602B" w:rsidSect="00D9556E">
      <w:headerReference w:type="default" r:id="rId8"/>
      <w:footerReference w:type="default" r:id="rId9"/>
      <w:headerReference w:type="first" r:id="rId10"/>
      <w:footerReference w:type="first" r:id="rId11"/>
      <w:pgSz w:w="11906" w:h="16838"/>
      <w:pgMar w:top="2552" w:right="1559" w:bottom="1418" w:left="1701"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D3" w:rsidRDefault="00320ED3" w:rsidP="00882D8A">
      <w:pPr>
        <w:spacing w:line="240" w:lineRule="auto"/>
      </w:pPr>
      <w:r>
        <w:separator/>
      </w:r>
    </w:p>
  </w:endnote>
  <w:endnote w:type="continuationSeparator" w:id="0">
    <w:p w:rsidR="00320ED3" w:rsidRDefault="00320ED3" w:rsidP="00882D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F8" w:rsidRDefault="003F6BF8">
    <w:pPr>
      <w:pStyle w:val="Piedepgina"/>
      <w:jc w:val="right"/>
    </w:pPr>
    <w:r>
      <w:t xml:space="preserve">Página </w:t>
    </w:r>
    <w:r w:rsidR="00086E66">
      <w:rPr>
        <w:b/>
        <w:sz w:val="24"/>
        <w:szCs w:val="24"/>
      </w:rPr>
      <w:fldChar w:fldCharType="begin"/>
    </w:r>
    <w:r>
      <w:rPr>
        <w:b/>
      </w:rPr>
      <w:instrText>PAGE</w:instrText>
    </w:r>
    <w:r w:rsidR="00086E66">
      <w:rPr>
        <w:b/>
        <w:sz w:val="24"/>
        <w:szCs w:val="24"/>
      </w:rPr>
      <w:fldChar w:fldCharType="separate"/>
    </w:r>
    <w:r w:rsidR="00B43521">
      <w:rPr>
        <w:b/>
        <w:noProof/>
      </w:rPr>
      <w:t>3</w:t>
    </w:r>
    <w:r w:rsidR="00086E66">
      <w:rPr>
        <w:b/>
        <w:sz w:val="24"/>
        <w:szCs w:val="24"/>
      </w:rPr>
      <w:fldChar w:fldCharType="end"/>
    </w:r>
    <w:r>
      <w:t xml:space="preserve"> de </w:t>
    </w:r>
    <w:r w:rsidR="00086E66">
      <w:rPr>
        <w:b/>
        <w:sz w:val="24"/>
        <w:szCs w:val="24"/>
      </w:rPr>
      <w:fldChar w:fldCharType="begin"/>
    </w:r>
    <w:r>
      <w:rPr>
        <w:b/>
      </w:rPr>
      <w:instrText>NUMPAGES</w:instrText>
    </w:r>
    <w:r w:rsidR="00086E66">
      <w:rPr>
        <w:b/>
        <w:sz w:val="24"/>
        <w:szCs w:val="24"/>
      </w:rPr>
      <w:fldChar w:fldCharType="separate"/>
    </w:r>
    <w:r w:rsidR="00B43521">
      <w:rPr>
        <w:b/>
        <w:noProof/>
      </w:rPr>
      <w:t>3</w:t>
    </w:r>
    <w:r w:rsidR="00086E66">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C4" w:rsidRPr="00A3602B" w:rsidRDefault="00E828C4">
    <w:pPr>
      <w:pStyle w:val="Piedepgina"/>
      <w:jc w:val="right"/>
      <w:rPr>
        <w:sz w:val="20"/>
        <w:szCs w:val="20"/>
      </w:rPr>
    </w:pPr>
    <w:r w:rsidRPr="00A3602B">
      <w:rPr>
        <w:sz w:val="20"/>
        <w:szCs w:val="20"/>
      </w:rPr>
      <w:t xml:space="preserve">Página </w:t>
    </w:r>
    <w:r w:rsidR="00086E66" w:rsidRPr="00A3602B">
      <w:rPr>
        <w:b/>
        <w:sz w:val="20"/>
        <w:szCs w:val="20"/>
      </w:rPr>
      <w:fldChar w:fldCharType="begin"/>
    </w:r>
    <w:r w:rsidRPr="00A3602B">
      <w:rPr>
        <w:b/>
        <w:sz w:val="20"/>
        <w:szCs w:val="20"/>
      </w:rPr>
      <w:instrText>PAGE</w:instrText>
    </w:r>
    <w:r w:rsidR="00086E66" w:rsidRPr="00A3602B">
      <w:rPr>
        <w:b/>
        <w:sz w:val="20"/>
        <w:szCs w:val="20"/>
      </w:rPr>
      <w:fldChar w:fldCharType="separate"/>
    </w:r>
    <w:r w:rsidR="00B43521">
      <w:rPr>
        <w:b/>
        <w:noProof/>
        <w:sz w:val="20"/>
        <w:szCs w:val="20"/>
      </w:rPr>
      <w:t>1</w:t>
    </w:r>
    <w:r w:rsidR="00086E66" w:rsidRPr="00A3602B">
      <w:rPr>
        <w:b/>
        <w:sz w:val="20"/>
        <w:szCs w:val="20"/>
      </w:rPr>
      <w:fldChar w:fldCharType="end"/>
    </w:r>
    <w:r w:rsidRPr="00A3602B">
      <w:rPr>
        <w:sz w:val="20"/>
        <w:szCs w:val="20"/>
      </w:rPr>
      <w:t xml:space="preserve"> de </w:t>
    </w:r>
    <w:r w:rsidR="00086E66" w:rsidRPr="00A3602B">
      <w:rPr>
        <w:b/>
        <w:sz w:val="20"/>
        <w:szCs w:val="20"/>
      </w:rPr>
      <w:fldChar w:fldCharType="begin"/>
    </w:r>
    <w:r w:rsidRPr="00A3602B">
      <w:rPr>
        <w:b/>
        <w:sz w:val="20"/>
        <w:szCs w:val="20"/>
      </w:rPr>
      <w:instrText>NUMPAGES</w:instrText>
    </w:r>
    <w:r w:rsidR="00086E66" w:rsidRPr="00A3602B">
      <w:rPr>
        <w:b/>
        <w:sz w:val="20"/>
        <w:szCs w:val="20"/>
      </w:rPr>
      <w:fldChar w:fldCharType="separate"/>
    </w:r>
    <w:r w:rsidR="00B43521">
      <w:rPr>
        <w:b/>
        <w:noProof/>
        <w:sz w:val="20"/>
        <w:szCs w:val="20"/>
      </w:rPr>
      <w:t>1</w:t>
    </w:r>
    <w:r w:rsidR="00086E66" w:rsidRPr="00A3602B">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D3" w:rsidRDefault="00320ED3" w:rsidP="00882D8A">
      <w:pPr>
        <w:spacing w:line="240" w:lineRule="auto"/>
      </w:pPr>
      <w:r>
        <w:separator/>
      </w:r>
    </w:p>
  </w:footnote>
  <w:footnote w:type="continuationSeparator" w:id="0">
    <w:p w:rsidR="00320ED3" w:rsidRDefault="00320ED3" w:rsidP="00882D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56" w:rsidRPr="00E828C4" w:rsidRDefault="008E7D3A" w:rsidP="00E828C4">
    <w:pPr>
      <w:pStyle w:val="Encabezado"/>
      <w:jc w:val="center"/>
      <w:rPr>
        <w:rStyle w:val="Hipervnculo"/>
        <w:color w:val="auto"/>
        <w:sz w:val="20"/>
        <w:u w:val="none"/>
      </w:rPr>
    </w:pPr>
    <w:r>
      <w:rPr>
        <w:noProof/>
      </w:rPr>
      <w:drawing>
        <wp:anchor distT="0" distB="0" distL="114300" distR="114300" simplePos="0" relativeHeight="251659776" behindDoc="1" locked="0" layoutInCell="1" allowOverlap="1">
          <wp:simplePos x="0" y="0"/>
          <wp:positionH relativeFrom="column">
            <wp:posOffset>-494665</wp:posOffset>
          </wp:positionH>
          <wp:positionV relativeFrom="paragraph">
            <wp:posOffset>50800</wp:posOffset>
          </wp:positionV>
          <wp:extent cx="727075" cy="697230"/>
          <wp:effectExtent l="19050" t="0" r="0" b="0"/>
          <wp:wrapNone/>
          <wp:docPr id="5" name="0 Imagen" descr="Descripción: Logo mini sin t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mini sin telf.jpg"/>
                  <pic:cNvPicPr>
                    <a:picLocks noChangeAspect="1" noChangeArrowheads="1"/>
                  </pic:cNvPicPr>
                </pic:nvPicPr>
                <pic:blipFill>
                  <a:blip r:embed="rId1"/>
                  <a:srcRect/>
                  <a:stretch>
                    <a:fillRect/>
                  </a:stretch>
                </pic:blipFill>
                <pic:spPr bwMode="auto">
                  <a:xfrm>
                    <a:off x="0" y="0"/>
                    <a:ext cx="727075" cy="6972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E8D" w:rsidRPr="006E77D9" w:rsidRDefault="008E7D3A" w:rsidP="005B193A">
    <w:pPr>
      <w:pStyle w:val="Encabezado"/>
      <w:tabs>
        <w:tab w:val="clear" w:pos="8504"/>
        <w:tab w:val="right" w:pos="8647"/>
      </w:tabs>
      <w:spacing w:after="60"/>
      <w:ind w:left="1985" w:right="-992" w:hanging="1417"/>
      <w:jc w:val="both"/>
      <w:rPr>
        <w:rFonts w:eastAsia="Batang"/>
        <w:color w:val="7F7F7F"/>
        <w:sz w:val="20"/>
      </w:rPr>
    </w:pPr>
    <w:r>
      <w:rPr>
        <w:noProof/>
      </w:rPr>
      <w:drawing>
        <wp:anchor distT="0" distB="0" distL="114300" distR="114300" simplePos="0" relativeHeight="251655680" behindDoc="1" locked="0" layoutInCell="1" allowOverlap="1">
          <wp:simplePos x="0" y="0"/>
          <wp:positionH relativeFrom="column">
            <wp:posOffset>-761365</wp:posOffset>
          </wp:positionH>
          <wp:positionV relativeFrom="paragraph">
            <wp:posOffset>-20955</wp:posOffset>
          </wp:positionV>
          <wp:extent cx="1057275" cy="1019810"/>
          <wp:effectExtent l="19050" t="0" r="9525" b="0"/>
          <wp:wrapNone/>
          <wp:docPr id="4" name="0 Imagen" descr="Descripción: Logo mini sin tel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Logo mini sin telf.jpg"/>
                  <pic:cNvPicPr>
                    <a:picLocks noChangeArrowheads="1"/>
                  </pic:cNvPicPr>
                </pic:nvPicPr>
                <pic:blipFill>
                  <a:blip r:embed="rId1"/>
                  <a:srcRect/>
                  <a:stretch>
                    <a:fillRect/>
                  </a:stretch>
                </pic:blipFill>
                <pic:spPr bwMode="auto">
                  <a:xfrm>
                    <a:off x="0" y="0"/>
                    <a:ext cx="1057275" cy="1019810"/>
                  </a:xfrm>
                  <a:prstGeom prst="rect">
                    <a:avLst/>
                  </a:prstGeom>
                  <a:noFill/>
                  <a:ln w="9525">
                    <a:noFill/>
                    <a:miter lim="800000"/>
                    <a:headEnd/>
                    <a:tailEnd/>
                  </a:ln>
                </pic:spPr>
              </pic:pic>
            </a:graphicData>
          </a:graphic>
        </wp:anchor>
      </w:drawing>
    </w:r>
    <w:r w:rsidR="00E82E8D" w:rsidRPr="006E77D9">
      <w:rPr>
        <w:rFonts w:eastAsia="Batang"/>
        <w:color w:val="7F7F7F"/>
        <w:sz w:val="24"/>
      </w:rPr>
      <w:t>Asambleas:</w:t>
    </w:r>
    <w:r w:rsidR="004D08B9">
      <w:rPr>
        <w:rFonts w:eastAsia="Batang"/>
        <w:color w:val="7F7F7F"/>
      </w:rPr>
      <w:tab/>
    </w:r>
    <w:proofErr w:type="spellStart"/>
    <w:r w:rsidR="00D830FD">
      <w:rPr>
        <w:rFonts w:eastAsia="Batang"/>
        <w:color w:val="7F7F7F"/>
      </w:rPr>
      <w:t>Albolote</w:t>
    </w:r>
    <w:proofErr w:type="spellEnd"/>
    <w:r w:rsidR="00D830FD">
      <w:rPr>
        <w:rFonts w:eastAsia="Batang"/>
        <w:color w:val="7F7F7F"/>
      </w:rPr>
      <w:t xml:space="preserve">, </w:t>
    </w:r>
    <w:r w:rsidR="00084F6A" w:rsidRPr="00084F6A">
      <w:rPr>
        <w:rFonts w:eastAsia="Batang"/>
        <w:color w:val="7F7F7F"/>
        <w:sz w:val="20"/>
      </w:rPr>
      <w:t xml:space="preserve">Almuñécar, Armilla, </w:t>
    </w:r>
    <w:proofErr w:type="spellStart"/>
    <w:r w:rsidR="00084F6A" w:rsidRPr="00084F6A">
      <w:rPr>
        <w:rFonts w:eastAsia="Batang"/>
        <w:color w:val="7F7F7F"/>
        <w:sz w:val="20"/>
      </w:rPr>
      <w:t>Atarfe</w:t>
    </w:r>
    <w:proofErr w:type="spellEnd"/>
    <w:r w:rsidR="00084F6A" w:rsidRPr="00084F6A">
      <w:rPr>
        <w:rFonts w:eastAsia="Batang"/>
        <w:color w:val="7F7F7F"/>
        <w:sz w:val="20"/>
      </w:rPr>
      <w:t>, Centro, Motril</w:t>
    </w:r>
    <w:r w:rsidR="00084F6A">
      <w:rPr>
        <w:rFonts w:eastAsia="Batang"/>
        <w:color w:val="7F7F7F"/>
        <w:sz w:val="20"/>
      </w:rPr>
      <w:t>,</w:t>
    </w:r>
    <w:r w:rsidR="00084F6A" w:rsidRPr="00084F6A">
      <w:rPr>
        <w:rFonts w:eastAsia="Batang"/>
        <w:color w:val="7F7F7F"/>
        <w:sz w:val="20"/>
      </w:rPr>
      <w:t xml:space="preserve"> Norte (Baza, </w:t>
    </w:r>
    <w:proofErr w:type="spellStart"/>
    <w:r w:rsidR="00084F6A" w:rsidRPr="00084F6A">
      <w:rPr>
        <w:rFonts w:eastAsia="Batang"/>
        <w:color w:val="7F7F7F"/>
        <w:sz w:val="20"/>
      </w:rPr>
      <w:t>Benalúa</w:t>
    </w:r>
    <w:proofErr w:type="spellEnd"/>
    <w:r w:rsidR="00084F6A" w:rsidRPr="00084F6A">
      <w:rPr>
        <w:rFonts w:eastAsia="Batang"/>
        <w:color w:val="7F7F7F"/>
        <w:sz w:val="20"/>
      </w:rPr>
      <w:t xml:space="preserve">, Guadix, </w:t>
    </w:r>
    <w:proofErr w:type="spellStart"/>
    <w:r w:rsidR="00084F6A" w:rsidRPr="00084F6A">
      <w:rPr>
        <w:rFonts w:eastAsia="Batang"/>
        <w:color w:val="7F7F7F"/>
        <w:sz w:val="20"/>
      </w:rPr>
      <w:t>Lanteira</w:t>
    </w:r>
    <w:proofErr w:type="spellEnd"/>
    <w:r w:rsidR="00084F6A" w:rsidRPr="00084F6A">
      <w:rPr>
        <w:rFonts w:eastAsia="Batang"/>
        <w:color w:val="7F7F7F"/>
        <w:sz w:val="20"/>
      </w:rPr>
      <w:t xml:space="preserve">), </w:t>
    </w:r>
    <w:proofErr w:type="spellStart"/>
    <w:r w:rsidR="00084F6A" w:rsidRPr="00084F6A">
      <w:rPr>
        <w:rFonts w:eastAsia="Batang"/>
        <w:color w:val="7F7F7F"/>
        <w:sz w:val="20"/>
      </w:rPr>
      <w:t>Pulianas</w:t>
    </w:r>
    <w:proofErr w:type="spellEnd"/>
    <w:r w:rsidR="00084F6A" w:rsidRPr="00084F6A">
      <w:rPr>
        <w:rFonts w:eastAsia="Batang"/>
        <w:color w:val="7F7F7F"/>
        <w:sz w:val="20"/>
      </w:rPr>
      <w:t xml:space="preserve">, Salobreña, </w:t>
    </w:r>
    <w:proofErr w:type="spellStart"/>
    <w:r w:rsidR="00084F6A" w:rsidRPr="00084F6A">
      <w:rPr>
        <w:rFonts w:eastAsia="Batang"/>
        <w:color w:val="7F7F7F"/>
        <w:sz w:val="20"/>
      </w:rPr>
      <w:t>Zaidín</w:t>
    </w:r>
    <w:proofErr w:type="spellEnd"/>
    <w:r w:rsidR="00084F6A" w:rsidRPr="00084F6A">
      <w:rPr>
        <w:rFonts w:eastAsia="Batang"/>
        <w:color w:val="7F7F7F"/>
        <w:sz w:val="20"/>
      </w:rPr>
      <w:t xml:space="preserve"> y La Zubia.</w:t>
    </w:r>
  </w:p>
  <w:p w:rsidR="00E82E8D" w:rsidRPr="00F6300E" w:rsidRDefault="003378DC" w:rsidP="005B193A">
    <w:pPr>
      <w:pStyle w:val="Encabezado"/>
      <w:tabs>
        <w:tab w:val="clear" w:pos="8504"/>
        <w:tab w:val="right" w:pos="9781"/>
      </w:tabs>
      <w:spacing w:before="240" w:after="60"/>
      <w:ind w:left="1702" w:right="-992" w:hanging="1418"/>
      <w:jc w:val="right"/>
      <w:rPr>
        <w:rFonts w:eastAsia="Batang"/>
        <w:sz w:val="24"/>
      </w:rPr>
    </w:pPr>
    <w:r w:rsidRPr="007F0B3A">
      <w:rPr>
        <w:rFonts w:eastAsia="Batang"/>
        <w:color w:val="FF0000"/>
        <w:sz w:val="28"/>
      </w:rPr>
      <w:t>En e</w:t>
    </w:r>
    <w:r w:rsidR="00F6300E" w:rsidRPr="007F0B3A">
      <w:rPr>
        <w:rFonts w:eastAsia="Batang"/>
        <w:color w:val="FF0000"/>
        <w:sz w:val="28"/>
      </w:rPr>
      <w:t>ste grupo,</w:t>
    </w:r>
    <w:r w:rsidRPr="007F0B3A">
      <w:rPr>
        <w:rFonts w:eastAsia="Batang"/>
        <w:color w:val="FF0000"/>
        <w:sz w:val="28"/>
      </w:rPr>
      <w:t xml:space="preserve"> </w:t>
    </w:r>
    <w:r w:rsidR="00F6300E" w:rsidRPr="007F0B3A">
      <w:rPr>
        <w:rFonts w:eastAsia="Batang"/>
        <w:color w:val="FF0000"/>
        <w:sz w:val="28"/>
      </w:rPr>
      <w:t>n</w:t>
    </w:r>
    <w:r w:rsidR="00E82E8D" w:rsidRPr="007F0B3A">
      <w:rPr>
        <w:rFonts w:eastAsia="Batang"/>
        <w:color w:val="FF0000"/>
        <w:sz w:val="28"/>
      </w:rPr>
      <w:t>adie cobra, nadie paga</w:t>
    </w:r>
    <w:r w:rsidRPr="007F0B3A">
      <w:rPr>
        <w:rFonts w:eastAsia="Batang"/>
        <w:color w:val="FF0000"/>
        <w:sz w:val="28"/>
      </w:rPr>
      <w:t xml:space="preserve"> y es apartidista</w:t>
    </w:r>
    <w:r>
      <w:rPr>
        <w:rFonts w:eastAsia="Batang"/>
        <w:color w:val="FF0000"/>
        <w:sz w:val="24"/>
      </w:rPr>
      <w:t>.</w:t>
    </w:r>
  </w:p>
  <w:p w:rsidR="00E82E8D" w:rsidRPr="00EE3A1D" w:rsidRDefault="008E7D3A" w:rsidP="005B193A">
    <w:pPr>
      <w:pStyle w:val="Encabezado"/>
      <w:tabs>
        <w:tab w:val="clear" w:pos="8504"/>
        <w:tab w:val="left" w:pos="2835"/>
        <w:tab w:val="left" w:pos="3119"/>
        <w:tab w:val="right" w:pos="9639"/>
      </w:tabs>
      <w:spacing w:before="120"/>
      <w:ind w:left="992" w:right="-992"/>
      <w:rPr>
        <w:rStyle w:val="Hipervnculo"/>
        <w:color w:val="7F7F7F"/>
        <w:sz w:val="20"/>
        <w:u w:val="none"/>
      </w:rPr>
    </w:pPr>
    <w:r>
      <w:rPr>
        <w:noProof/>
      </w:rPr>
      <w:drawing>
        <wp:anchor distT="0" distB="0" distL="114300" distR="114300" simplePos="0" relativeHeight="251657728" behindDoc="0" locked="0" layoutInCell="1" allowOverlap="1">
          <wp:simplePos x="0" y="0"/>
          <wp:positionH relativeFrom="column">
            <wp:posOffset>1475740</wp:posOffset>
          </wp:positionH>
          <wp:positionV relativeFrom="paragraph">
            <wp:posOffset>24765</wp:posOffset>
          </wp:positionV>
          <wp:extent cx="219075" cy="219075"/>
          <wp:effectExtent l="19050" t="0" r="9525" b="0"/>
          <wp:wrapNone/>
          <wp:docPr id="3" name="Imagen 7" descr="Descripción: forma-de-correo-electronico-esbozo-sobre-con-esquinas-redondeadas_318-4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forma-de-correo-electronico-esbozo-sobre-con-esquinas-redondeadas_318-49938"/>
                  <pic:cNvPicPr>
                    <a:picLocks noChangeAspect="1" noChangeArrowheads="1"/>
                  </pic:cNvPicPr>
                </pic:nvPicPr>
                <pic:blipFill>
                  <a:blip r:embed="rId2"/>
                  <a:srcRect/>
                  <a:stretch>
                    <a:fillRect/>
                  </a:stretch>
                </pic:blipFill>
                <pic:spPr bwMode="auto">
                  <a:xfrm>
                    <a:off x="0" y="0"/>
                    <a:ext cx="219075" cy="2190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4208145</wp:posOffset>
          </wp:positionH>
          <wp:positionV relativeFrom="paragraph">
            <wp:posOffset>45085</wp:posOffset>
          </wp:positionV>
          <wp:extent cx="132715" cy="132715"/>
          <wp:effectExtent l="19050" t="0" r="635" b="0"/>
          <wp:wrapNone/>
          <wp:docPr id="1" name="2 Imagen" descr="Descripción: facebo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facebook 1.png"/>
                  <pic:cNvPicPr>
                    <a:picLocks noChangeAspect="1" noChangeArrowheads="1"/>
                  </pic:cNvPicPr>
                </pic:nvPicPr>
                <pic:blipFill>
                  <a:blip r:embed="rId3"/>
                  <a:srcRect/>
                  <a:stretch>
                    <a:fillRect/>
                  </a:stretch>
                </pic:blipFill>
                <pic:spPr bwMode="auto">
                  <a:xfrm>
                    <a:off x="0" y="0"/>
                    <a:ext cx="132715" cy="13271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367030</wp:posOffset>
          </wp:positionH>
          <wp:positionV relativeFrom="paragraph">
            <wp:posOffset>13335</wp:posOffset>
          </wp:positionV>
          <wp:extent cx="215900" cy="215900"/>
          <wp:effectExtent l="0" t="0" r="0" b="0"/>
          <wp:wrapNone/>
          <wp:docPr id="2" name="Imagen 6" descr="Descripción: molumen_phon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olumen_phone_icon"/>
                  <pic:cNvPicPr>
                    <a:picLocks noChangeAspect="1" noChangeArrowheads="1"/>
                  </pic:cNvPicPr>
                </pic:nvPicPr>
                <pic:blipFill>
                  <a:blip r:embed="rId4"/>
                  <a:srcRect/>
                  <a:stretch>
                    <a:fillRect/>
                  </a:stretch>
                </pic:blipFill>
                <pic:spPr bwMode="auto">
                  <a:xfrm>
                    <a:off x="0" y="0"/>
                    <a:ext cx="215900" cy="215900"/>
                  </a:xfrm>
                  <a:prstGeom prst="rect">
                    <a:avLst/>
                  </a:prstGeom>
                  <a:noFill/>
                  <a:ln w="9525">
                    <a:noFill/>
                    <a:miter lim="800000"/>
                    <a:headEnd/>
                    <a:tailEnd/>
                  </a:ln>
                </pic:spPr>
              </pic:pic>
            </a:graphicData>
          </a:graphic>
        </wp:anchor>
      </w:drawing>
    </w:r>
    <w:r w:rsidR="00E82E8D" w:rsidRPr="00EE3A1D">
      <w:rPr>
        <w:color w:val="7F7F7F"/>
      </w:rPr>
      <w:t>666 016 025</w:t>
    </w:r>
    <w:r>
      <w:rPr>
        <w:color w:val="7F7F7F"/>
      </w:rPr>
      <w:t xml:space="preserve">        </w:t>
    </w:r>
    <w:hyperlink r:id="rId5" w:history="1">
      <w:r w:rsidR="00E82E8D" w:rsidRPr="00EE3A1D">
        <w:rPr>
          <w:rStyle w:val="Hipervnculo"/>
          <w:color w:val="7F7F7F"/>
          <w:sz w:val="20"/>
          <w:u w:val="none"/>
        </w:rPr>
        <w:t>info@afectadosporlahipotecagranada.com</w:t>
      </w:r>
    </w:hyperlink>
    <w:r w:rsidR="004D08B9">
      <w:rPr>
        <w:rStyle w:val="Hipervnculo"/>
        <w:color w:val="7F7F7F"/>
        <w:u w:val="none"/>
      </w:rPr>
      <w:tab/>
    </w:r>
    <w:r w:rsidR="00E82E8D" w:rsidRPr="00EE3A1D">
      <w:rPr>
        <w:sz w:val="20"/>
      </w:rPr>
      <w:t xml:space="preserve"> </w:t>
    </w:r>
    <w:r>
      <w:rPr>
        <w:sz w:val="20"/>
      </w:rPr>
      <w:t xml:space="preserve">   </w:t>
    </w:r>
    <w:hyperlink r:id="rId6" w:history="1">
      <w:r w:rsidR="00E82E8D" w:rsidRPr="00EE3A1D">
        <w:rPr>
          <w:rStyle w:val="Hipervnculo"/>
          <w:color w:val="7F7F7F"/>
          <w:sz w:val="20"/>
          <w:u w:val="none"/>
        </w:rPr>
        <w:t>PAH Granada Stop desahucios</w:t>
      </w:r>
    </w:hyperlink>
  </w:p>
  <w:p w:rsidR="00E82E8D" w:rsidRDefault="00E82E8D" w:rsidP="005B193A">
    <w:pPr>
      <w:pStyle w:val="Encabezado"/>
      <w:tabs>
        <w:tab w:val="clear" w:pos="8504"/>
        <w:tab w:val="right" w:pos="9781"/>
      </w:tabs>
      <w:ind w:left="-1134" w:right="-1134"/>
    </w:pPr>
    <w:r w:rsidRPr="003378DC">
      <w:rPr>
        <w:color w:val="7F7F7F"/>
        <w:sz w:val="18"/>
        <w:u w:val="thick" w:color="C00000"/>
      </w:rPr>
      <w:t xml:space="preserve">                                                                                                                                                                                                                                              </w:t>
    </w:r>
    <w:r w:rsidR="00E3684E">
      <w:rPr>
        <w:color w:val="7F7F7F"/>
        <w:sz w:val="18"/>
        <w:u w:val="thick" w:color="C00000"/>
      </w:rPr>
      <w:t xml:space="preserve">    </w:t>
    </w:r>
    <w:r w:rsidRPr="003378DC">
      <w:rPr>
        <w:color w:val="7F7F7F"/>
        <w:sz w:val="18"/>
        <w:u w:val="thick"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1069" w:hanging="360"/>
      </w:pPr>
      <w:rPr>
        <w:rFonts w:ascii="Courier New" w:hAnsi="Courier New" w:cs="Courier New" w:hint="default"/>
        <w:lang w:val="es-ES_tradnl"/>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o"/>
      <w:lvlJc w:val="left"/>
      <w:pPr>
        <w:tabs>
          <w:tab w:val="num" w:pos="0"/>
        </w:tabs>
        <w:ind w:left="1068" w:hanging="360"/>
      </w:pPr>
      <w:rPr>
        <w:rFonts w:ascii="Courier New" w:hAnsi="Courier New" w:cs="Arial" w:hint="default"/>
        <w:lang w:val="es-ES"/>
      </w:rPr>
    </w:lvl>
  </w:abstractNum>
  <w:abstractNum w:abstractNumId="2">
    <w:nsid w:val="00000003"/>
    <w:multiLevelType w:val="singleLevel"/>
    <w:tmpl w:val="00000003"/>
    <w:name w:val="WW8Num3"/>
    <w:lvl w:ilvl="0">
      <w:numFmt w:val="bullet"/>
      <w:lvlText w:val=""/>
      <w:lvlJc w:val="left"/>
      <w:pPr>
        <w:tabs>
          <w:tab w:val="num" w:pos="0"/>
        </w:tabs>
        <w:ind w:left="1065" w:hanging="360"/>
      </w:pPr>
      <w:rPr>
        <w:rFonts w:ascii="Symbol" w:hAnsi="Symbol" w:cs="Arial" w:hint="default"/>
        <w:lang w:val="es-ES_tradn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lang w:val="es-ES_tradnl"/>
      </w:rPr>
    </w:lvl>
    <w:lvl w:ilvl="1">
      <w:start w:val="1"/>
      <w:numFmt w:val="bullet"/>
      <w:lvlText w:val=""/>
      <w:lvlJc w:val="left"/>
      <w:pPr>
        <w:tabs>
          <w:tab w:val="num" w:pos="1080"/>
        </w:tabs>
        <w:ind w:left="1080" w:hanging="360"/>
      </w:pPr>
      <w:rPr>
        <w:rFonts w:ascii="Symbol" w:hAnsi="Symbol" w:cs="Courier New" w:hint="default"/>
        <w:lang w:val="es-ES_tradnl"/>
      </w:rPr>
    </w:lvl>
    <w:lvl w:ilvl="2">
      <w:start w:val="1"/>
      <w:numFmt w:val="bullet"/>
      <w:lvlText w:val=""/>
      <w:lvlJc w:val="left"/>
      <w:pPr>
        <w:tabs>
          <w:tab w:val="num" w:pos="1440"/>
        </w:tabs>
        <w:ind w:left="1440" w:hanging="360"/>
      </w:pPr>
      <w:rPr>
        <w:rFonts w:ascii="Symbol" w:hAnsi="Symbol" w:cs="Courier New" w:hint="default"/>
        <w:lang w:val="es-ES_tradnl"/>
      </w:rPr>
    </w:lvl>
    <w:lvl w:ilvl="3">
      <w:start w:val="1"/>
      <w:numFmt w:val="bullet"/>
      <w:lvlText w:val=""/>
      <w:lvlJc w:val="left"/>
      <w:pPr>
        <w:tabs>
          <w:tab w:val="num" w:pos="1800"/>
        </w:tabs>
        <w:ind w:left="1800" w:hanging="360"/>
      </w:pPr>
      <w:rPr>
        <w:rFonts w:ascii="Symbol" w:hAnsi="Symbol" w:cs="Courier New" w:hint="default"/>
        <w:lang w:val="es-ES_tradnl"/>
      </w:rPr>
    </w:lvl>
    <w:lvl w:ilvl="4">
      <w:start w:val="1"/>
      <w:numFmt w:val="bullet"/>
      <w:lvlText w:val=""/>
      <w:lvlJc w:val="left"/>
      <w:pPr>
        <w:tabs>
          <w:tab w:val="num" w:pos="2160"/>
        </w:tabs>
        <w:ind w:left="2160" w:hanging="360"/>
      </w:pPr>
      <w:rPr>
        <w:rFonts w:ascii="Symbol" w:hAnsi="Symbol" w:cs="Courier New" w:hint="default"/>
        <w:lang w:val="es-ES_tradnl"/>
      </w:rPr>
    </w:lvl>
    <w:lvl w:ilvl="5">
      <w:start w:val="1"/>
      <w:numFmt w:val="bullet"/>
      <w:lvlText w:val=""/>
      <w:lvlJc w:val="left"/>
      <w:pPr>
        <w:tabs>
          <w:tab w:val="num" w:pos="2520"/>
        </w:tabs>
        <w:ind w:left="2520" w:hanging="360"/>
      </w:pPr>
      <w:rPr>
        <w:rFonts w:ascii="Symbol" w:hAnsi="Symbol" w:cs="Courier New" w:hint="default"/>
        <w:lang w:val="es-ES_tradnl"/>
      </w:rPr>
    </w:lvl>
    <w:lvl w:ilvl="6">
      <w:start w:val="1"/>
      <w:numFmt w:val="bullet"/>
      <w:lvlText w:val=""/>
      <w:lvlJc w:val="left"/>
      <w:pPr>
        <w:tabs>
          <w:tab w:val="num" w:pos="2880"/>
        </w:tabs>
        <w:ind w:left="2880" w:hanging="360"/>
      </w:pPr>
      <w:rPr>
        <w:rFonts w:ascii="Symbol" w:hAnsi="Symbol" w:cs="Courier New" w:hint="default"/>
        <w:lang w:val="es-ES_tradnl"/>
      </w:rPr>
    </w:lvl>
    <w:lvl w:ilvl="7">
      <w:start w:val="1"/>
      <w:numFmt w:val="bullet"/>
      <w:lvlText w:val=""/>
      <w:lvlJc w:val="left"/>
      <w:pPr>
        <w:tabs>
          <w:tab w:val="num" w:pos="3240"/>
        </w:tabs>
        <w:ind w:left="3240" w:hanging="360"/>
      </w:pPr>
      <w:rPr>
        <w:rFonts w:ascii="Symbol" w:hAnsi="Symbol" w:cs="Courier New" w:hint="default"/>
        <w:lang w:val="es-ES_tradnl"/>
      </w:rPr>
    </w:lvl>
    <w:lvl w:ilvl="8">
      <w:start w:val="1"/>
      <w:numFmt w:val="bullet"/>
      <w:lvlText w:val=""/>
      <w:lvlJc w:val="left"/>
      <w:pPr>
        <w:tabs>
          <w:tab w:val="num" w:pos="3600"/>
        </w:tabs>
        <w:ind w:left="3600" w:hanging="360"/>
      </w:pPr>
      <w:rPr>
        <w:rFonts w:ascii="Symbol" w:hAnsi="Symbol" w:cs="Courier New" w:hint="default"/>
        <w:lang w:val="es-ES_tradn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hint="default"/>
        <w:lang w:val="es-ES"/>
      </w:rPr>
    </w:lvl>
    <w:lvl w:ilvl="1">
      <w:start w:val="1"/>
      <w:numFmt w:val="bullet"/>
      <w:lvlText w:val=""/>
      <w:lvlJc w:val="left"/>
      <w:pPr>
        <w:tabs>
          <w:tab w:val="num" w:pos="1080"/>
        </w:tabs>
        <w:ind w:left="1080" w:hanging="360"/>
      </w:pPr>
      <w:rPr>
        <w:rFonts w:ascii="Symbol" w:hAnsi="Symbol" w:cs="Arial" w:hint="default"/>
        <w:lang w:val="es-ES"/>
      </w:rPr>
    </w:lvl>
    <w:lvl w:ilvl="2">
      <w:start w:val="1"/>
      <w:numFmt w:val="bullet"/>
      <w:lvlText w:val=""/>
      <w:lvlJc w:val="left"/>
      <w:pPr>
        <w:tabs>
          <w:tab w:val="num" w:pos="1440"/>
        </w:tabs>
        <w:ind w:left="1440" w:hanging="360"/>
      </w:pPr>
      <w:rPr>
        <w:rFonts w:ascii="Symbol" w:hAnsi="Symbol" w:cs="Arial" w:hint="default"/>
        <w:lang w:val="es-ES"/>
      </w:rPr>
    </w:lvl>
    <w:lvl w:ilvl="3">
      <w:start w:val="1"/>
      <w:numFmt w:val="bullet"/>
      <w:lvlText w:val=""/>
      <w:lvlJc w:val="left"/>
      <w:pPr>
        <w:tabs>
          <w:tab w:val="num" w:pos="1800"/>
        </w:tabs>
        <w:ind w:left="1800" w:hanging="360"/>
      </w:pPr>
      <w:rPr>
        <w:rFonts w:ascii="Symbol" w:hAnsi="Symbol" w:cs="Arial" w:hint="default"/>
        <w:lang w:val="es-ES"/>
      </w:rPr>
    </w:lvl>
    <w:lvl w:ilvl="4">
      <w:start w:val="1"/>
      <w:numFmt w:val="bullet"/>
      <w:lvlText w:val=""/>
      <w:lvlJc w:val="left"/>
      <w:pPr>
        <w:tabs>
          <w:tab w:val="num" w:pos="2160"/>
        </w:tabs>
        <w:ind w:left="2160" w:hanging="360"/>
      </w:pPr>
      <w:rPr>
        <w:rFonts w:ascii="Symbol" w:hAnsi="Symbol" w:cs="Arial" w:hint="default"/>
        <w:lang w:val="es-ES"/>
      </w:rPr>
    </w:lvl>
    <w:lvl w:ilvl="5">
      <w:start w:val="1"/>
      <w:numFmt w:val="bullet"/>
      <w:lvlText w:val=""/>
      <w:lvlJc w:val="left"/>
      <w:pPr>
        <w:tabs>
          <w:tab w:val="num" w:pos="2520"/>
        </w:tabs>
        <w:ind w:left="2520" w:hanging="360"/>
      </w:pPr>
      <w:rPr>
        <w:rFonts w:ascii="Symbol" w:hAnsi="Symbol" w:cs="Arial" w:hint="default"/>
        <w:lang w:val="es-ES"/>
      </w:rPr>
    </w:lvl>
    <w:lvl w:ilvl="6">
      <w:start w:val="1"/>
      <w:numFmt w:val="bullet"/>
      <w:lvlText w:val=""/>
      <w:lvlJc w:val="left"/>
      <w:pPr>
        <w:tabs>
          <w:tab w:val="num" w:pos="2880"/>
        </w:tabs>
        <w:ind w:left="2880" w:hanging="360"/>
      </w:pPr>
      <w:rPr>
        <w:rFonts w:ascii="Symbol" w:hAnsi="Symbol" w:cs="Arial" w:hint="default"/>
        <w:lang w:val="es-ES"/>
      </w:rPr>
    </w:lvl>
    <w:lvl w:ilvl="7">
      <w:start w:val="1"/>
      <w:numFmt w:val="bullet"/>
      <w:lvlText w:val=""/>
      <w:lvlJc w:val="left"/>
      <w:pPr>
        <w:tabs>
          <w:tab w:val="num" w:pos="3240"/>
        </w:tabs>
        <w:ind w:left="3240" w:hanging="360"/>
      </w:pPr>
      <w:rPr>
        <w:rFonts w:ascii="Symbol" w:hAnsi="Symbol" w:cs="Arial" w:hint="default"/>
        <w:lang w:val="es-ES"/>
      </w:rPr>
    </w:lvl>
    <w:lvl w:ilvl="8">
      <w:start w:val="1"/>
      <w:numFmt w:val="bullet"/>
      <w:lvlText w:val=""/>
      <w:lvlJc w:val="left"/>
      <w:pPr>
        <w:tabs>
          <w:tab w:val="num" w:pos="3600"/>
        </w:tabs>
        <w:ind w:left="3600" w:hanging="360"/>
      </w:pPr>
      <w:rPr>
        <w:rFonts w:ascii="Symbol" w:hAnsi="Symbol" w:cs="Arial" w:hint="default"/>
        <w:lang w:val="es-E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6AF1388"/>
    <w:multiLevelType w:val="multilevel"/>
    <w:tmpl w:val="D9D8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571A10"/>
    <w:multiLevelType w:val="hybridMultilevel"/>
    <w:tmpl w:val="CDB29BF2"/>
    <w:lvl w:ilvl="0" w:tplc="88D83F98">
      <w:start w:val="66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0C70541D"/>
    <w:multiLevelType w:val="hybridMultilevel"/>
    <w:tmpl w:val="5DFA9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385DF0"/>
    <w:multiLevelType w:val="hybridMultilevel"/>
    <w:tmpl w:val="C17EA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8854B3"/>
    <w:multiLevelType w:val="hybridMultilevel"/>
    <w:tmpl w:val="0038D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D727ED"/>
    <w:multiLevelType w:val="hybridMultilevel"/>
    <w:tmpl w:val="BB540192"/>
    <w:lvl w:ilvl="0" w:tplc="88D83F98">
      <w:start w:val="66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0A44C2"/>
    <w:multiLevelType w:val="hybridMultilevel"/>
    <w:tmpl w:val="931C3D8C"/>
    <w:lvl w:ilvl="0" w:tplc="420A059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286425"/>
    <w:multiLevelType w:val="hybridMultilevel"/>
    <w:tmpl w:val="D5F81D06"/>
    <w:lvl w:ilvl="0" w:tplc="E1E6B4E2">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E27057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EE57538"/>
    <w:multiLevelType w:val="hybridMultilevel"/>
    <w:tmpl w:val="6422FDD0"/>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6">
    <w:nsid w:val="2A292F98"/>
    <w:multiLevelType w:val="hybridMultilevel"/>
    <w:tmpl w:val="D9DAFE4E"/>
    <w:lvl w:ilvl="0" w:tplc="32506CE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277FD0"/>
    <w:multiLevelType w:val="hybridMultilevel"/>
    <w:tmpl w:val="38DE0CB0"/>
    <w:lvl w:ilvl="0" w:tplc="705AB05A">
      <w:start w:val="1"/>
      <w:numFmt w:val="bullet"/>
      <w:lvlText w:val="-"/>
      <w:lvlJc w:val="left"/>
      <w:pPr>
        <w:ind w:left="1068" w:hanging="360"/>
      </w:pPr>
      <w:rPr>
        <w:rFonts w:ascii="Arial" w:hAnsi="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nsid w:val="396B026E"/>
    <w:multiLevelType w:val="hybridMultilevel"/>
    <w:tmpl w:val="EE0CF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723D4D"/>
    <w:multiLevelType w:val="hybridMultilevel"/>
    <w:tmpl w:val="6C9C1722"/>
    <w:lvl w:ilvl="0" w:tplc="7346B5A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7471B8"/>
    <w:multiLevelType w:val="hybridMultilevel"/>
    <w:tmpl w:val="D138EEC6"/>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8941036"/>
    <w:multiLevelType w:val="multilevel"/>
    <w:tmpl w:val="1EC4B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ECE6FF6"/>
    <w:multiLevelType w:val="hybridMultilevel"/>
    <w:tmpl w:val="FEC21506"/>
    <w:lvl w:ilvl="0" w:tplc="0C0A0003">
      <w:start w:val="1"/>
      <w:numFmt w:val="bullet"/>
      <w:lvlText w:val="o"/>
      <w:lvlJc w:val="left"/>
      <w:pPr>
        <w:ind w:left="1065" w:hanging="360"/>
      </w:pPr>
      <w:rPr>
        <w:rFonts w:ascii="Courier New" w:hAnsi="Courier New" w:cs="Courier New"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23">
    <w:nsid w:val="53400E9B"/>
    <w:multiLevelType w:val="hybridMultilevel"/>
    <w:tmpl w:val="F7C01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CA28C5"/>
    <w:multiLevelType w:val="hybridMultilevel"/>
    <w:tmpl w:val="A9B411A4"/>
    <w:lvl w:ilvl="0" w:tplc="962C99E6">
      <w:numFmt w:val="bullet"/>
      <w:lvlText w:val="-"/>
      <w:lvlJc w:val="left"/>
      <w:pPr>
        <w:ind w:left="218" w:hanging="360"/>
      </w:pPr>
      <w:rPr>
        <w:rFonts w:ascii="Calibri" w:eastAsia="Calibri" w:hAnsi="Calibri" w:cs="Calibri" w:hint="default"/>
      </w:rPr>
    </w:lvl>
    <w:lvl w:ilvl="1" w:tplc="040A0003" w:tentative="1">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25">
    <w:nsid w:val="58B30A83"/>
    <w:multiLevelType w:val="hybridMultilevel"/>
    <w:tmpl w:val="0C00C724"/>
    <w:lvl w:ilvl="0" w:tplc="88D83F98">
      <w:start w:val="66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8F21660"/>
    <w:multiLevelType w:val="hybridMultilevel"/>
    <w:tmpl w:val="21EEEB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F255025"/>
    <w:multiLevelType w:val="hybridMultilevel"/>
    <w:tmpl w:val="C936B16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1CC1817"/>
    <w:multiLevelType w:val="hybridMultilevel"/>
    <w:tmpl w:val="6BE46DE4"/>
    <w:lvl w:ilvl="0" w:tplc="80C80D74">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3AC006B"/>
    <w:multiLevelType w:val="hybridMultilevel"/>
    <w:tmpl w:val="61322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BA6A88"/>
    <w:multiLevelType w:val="hybridMultilevel"/>
    <w:tmpl w:val="633420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CB370B7"/>
    <w:multiLevelType w:val="hybridMultilevel"/>
    <w:tmpl w:val="F16EB188"/>
    <w:lvl w:ilvl="0" w:tplc="0D585F78">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17"/>
  </w:num>
  <w:num w:numId="9">
    <w:abstractNumId w:val="22"/>
  </w:num>
  <w:num w:numId="10">
    <w:abstractNumId w:val="18"/>
  </w:num>
  <w:num w:numId="11">
    <w:abstractNumId w:val="15"/>
  </w:num>
  <w:num w:numId="12">
    <w:abstractNumId w:val="10"/>
  </w:num>
  <w:num w:numId="13">
    <w:abstractNumId w:val="26"/>
  </w:num>
  <w:num w:numId="14">
    <w:abstractNumId w:val="23"/>
  </w:num>
  <w:num w:numId="15">
    <w:abstractNumId w:val="24"/>
  </w:num>
  <w:num w:numId="16">
    <w:abstractNumId w:val="14"/>
  </w:num>
  <w:num w:numId="17">
    <w:abstractNumId w:val="9"/>
  </w:num>
  <w:num w:numId="18">
    <w:abstractNumId w:val="25"/>
  </w:num>
  <w:num w:numId="19">
    <w:abstractNumId w:val="11"/>
  </w:num>
  <w:num w:numId="20">
    <w:abstractNumId w:val="27"/>
  </w:num>
  <w:num w:numId="21">
    <w:abstractNumId w:val="8"/>
  </w:num>
  <w:num w:numId="22">
    <w:abstractNumId w:val="7"/>
  </w:num>
  <w:num w:numId="23">
    <w:abstractNumId w:val="30"/>
  </w:num>
  <w:num w:numId="24">
    <w:abstractNumId w:val="29"/>
  </w:num>
  <w:num w:numId="25">
    <w:abstractNumId w:val="16"/>
  </w:num>
  <w:num w:numId="26">
    <w:abstractNumId w:val="28"/>
  </w:num>
  <w:num w:numId="27">
    <w:abstractNumId w:val="13"/>
  </w:num>
  <w:num w:numId="28">
    <w:abstractNumId w:val="12"/>
  </w:num>
  <w:num w:numId="29">
    <w:abstractNumId w:val="19"/>
  </w:num>
  <w:num w:numId="30">
    <w:abstractNumId w:val="31"/>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ocumentProtection w:edit="readOnly" w:formatting="1" w:enforcement="0"/>
  <w:defaultTabStop w:val="708"/>
  <w:hyphenationZone w:val="425"/>
  <w:drawingGridHorizontalSpacing w:val="108"/>
  <w:drawingGridVerticalSpacing w:val="181"/>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74FAC"/>
    <w:rsid w:val="00022592"/>
    <w:rsid w:val="00032C79"/>
    <w:rsid w:val="00084F6A"/>
    <w:rsid w:val="00086E66"/>
    <w:rsid w:val="000A4BED"/>
    <w:rsid w:val="000B355F"/>
    <w:rsid w:val="000C46BE"/>
    <w:rsid w:val="00114A6E"/>
    <w:rsid w:val="0012134C"/>
    <w:rsid w:val="00130CC1"/>
    <w:rsid w:val="0013592A"/>
    <w:rsid w:val="00135FC9"/>
    <w:rsid w:val="0016150B"/>
    <w:rsid w:val="0016271E"/>
    <w:rsid w:val="001B0D9C"/>
    <w:rsid w:val="001B3894"/>
    <w:rsid w:val="001C5B87"/>
    <w:rsid w:val="001E6B3B"/>
    <w:rsid w:val="00224629"/>
    <w:rsid w:val="00255C64"/>
    <w:rsid w:val="002B3C84"/>
    <w:rsid w:val="002D016B"/>
    <w:rsid w:val="002D6F63"/>
    <w:rsid w:val="002D7852"/>
    <w:rsid w:val="002F1E70"/>
    <w:rsid w:val="002F4058"/>
    <w:rsid w:val="002F4534"/>
    <w:rsid w:val="00320ED3"/>
    <w:rsid w:val="00322396"/>
    <w:rsid w:val="00337362"/>
    <w:rsid w:val="003378DC"/>
    <w:rsid w:val="00345FFF"/>
    <w:rsid w:val="00371288"/>
    <w:rsid w:val="003A5F92"/>
    <w:rsid w:val="003B5449"/>
    <w:rsid w:val="003C711A"/>
    <w:rsid w:val="003E418A"/>
    <w:rsid w:val="003F6BF8"/>
    <w:rsid w:val="004278FA"/>
    <w:rsid w:val="0043493B"/>
    <w:rsid w:val="00441589"/>
    <w:rsid w:val="0047150D"/>
    <w:rsid w:val="00476D3C"/>
    <w:rsid w:val="004831C5"/>
    <w:rsid w:val="004921C2"/>
    <w:rsid w:val="004D08B9"/>
    <w:rsid w:val="004D1D72"/>
    <w:rsid w:val="004D2168"/>
    <w:rsid w:val="004E74A1"/>
    <w:rsid w:val="005437B8"/>
    <w:rsid w:val="00564FCE"/>
    <w:rsid w:val="005A703C"/>
    <w:rsid w:val="005B193A"/>
    <w:rsid w:val="005C50F0"/>
    <w:rsid w:val="005F1A42"/>
    <w:rsid w:val="00605782"/>
    <w:rsid w:val="0063608C"/>
    <w:rsid w:val="00645B2D"/>
    <w:rsid w:val="00647CFA"/>
    <w:rsid w:val="006568FC"/>
    <w:rsid w:val="00676ACB"/>
    <w:rsid w:val="00681693"/>
    <w:rsid w:val="00684111"/>
    <w:rsid w:val="00684642"/>
    <w:rsid w:val="00692DA9"/>
    <w:rsid w:val="006A63BE"/>
    <w:rsid w:val="006C1AD7"/>
    <w:rsid w:val="006D087E"/>
    <w:rsid w:val="006E77D9"/>
    <w:rsid w:val="007432FD"/>
    <w:rsid w:val="007433FB"/>
    <w:rsid w:val="007A36AE"/>
    <w:rsid w:val="007B2A8B"/>
    <w:rsid w:val="007D03B5"/>
    <w:rsid w:val="007D0EFE"/>
    <w:rsid w:val="007F0B3A"/>
    <w:rsid w:val="007F2AE4"/>
    <w:rsid w:val="00822280"/>
    <w:rsid w:val="00864552"/>
    <w:rsid w:val="00882D8A"/>
    <w:rsid w:val="00892478"/>
    <w:rsid w:val="00897A3E"/>
    <w:rsid w:val="008A0C87"/>
    <w:rsid w:val="008A1FC9"/>
    <w:rsid w:val="008A2C9B"/>
    <w:rsid w:val="008A556B"/>
    <w:rsid w:val="008D232D"/>
    <w:rsid w:val="008D4095"/>
    <w:rsid w:val="008E306C"/>
    <w:rsid w:val="008E7D3A"/>
    <w:rsid w:val="00903B69"/>
    <w:rsid w:val="009050F5"/>
    <w:rsid w:val="00941B2D"/>
    <w:rsid w:val="009423FF"/>
    <w:rsid w:val="00974FAC"/>
    <w:rsid w:val="00992D44"/>
    <w:rsid w:val="00993B0D"/>
    <w:rsid w:val="009C4485"/>
    <w:rsid w:val="009D4648"/>
    <w:rsid w:val="009D4D45"/>
    <w:rsid w:val="009F17B8"/>
    <w:rsid w:val="00A229B3"/>
    <w:rsid w:val="00A27F41"/>
    <w:rsid w:val="00A3602B"/>
    <w:rsid w:val="00A654CB"/>
    <w:rsid w:val="00AA2163"/>
    <w:rsid w:val="00AA2193"/>
    <w:rsid w:val="00AC76B4"/>
    <w:rsid w:val="00AE4AC2"/>
    <w:rsid w:val="00AF3CE3"/>
    <w:rsid w:val="00AF734F"/>
    <w:rsid w:val="00B0769B"/>
    <w:rsid w:val="00B30036"/>
    <w:rsid w:val="00B34603"/>
    <w:rsid w:val="00B43521"/>
    <w:rsid w:val="00B634A2"/>
    <w:rsid w:val="00B843E1"/>
    <w:rsid w:val="00B9030B"/>
    <w:rsid w:val="00B91E5C"/>
    <w:rsid w:val="00BC5140"/>
    <w:rsid w:val="00C14E0A"/>
    <w:rsid w:val="00C20AD9"/>
    <w:rsid w:val="00C469B8"/>
    <w:rsid w:val="00C53256"/>
    <w:rsid w:val="00C95891"/>
    <w:rsid w:val="00CB0D10"/>
    <w:rsid w:val="00CB7041"/>
    <w:rsid w:val="00CB776B"/>
    <w:rsid w:val="00CD09F1"/>
    <w:rsid w:val="00D033CE"/>
    <w:rsid w:val="00D46879"/>
    <w:rsid w:val="00D54486"/>
    <w:rsid w:val="00D830FD"/>
    <w:rsid w:val="00D90D90"/>
    <w:rsid w:val="00D9556E"/>
    <w:rsid w:val="00D9789C"/>
    <w:rsid w:val="00DB46C9"/>
    <w:rsid w:val="00DD1BE1"/>
    <w:rsid w:val="00DE3B4E"/>
    <w:rsid w:val="00DF2570"/>
    <w:rsid w:val="00E22A43"/>
    <w:rsid w:val="00E25D8B"/>
    <w:rsid w:val="00E3684E"/>
    <w:rsid w:val="00E65DDB"/>
    <w:rsid w:val="00E828C4"/>
    <w:rsid w:val="00E82E8D"/>
    <w:rsid w:val="00E87130"/>
    <w:rsid w:val="00E94FB8"/>
    <w:rsid w:val="00EA3A07"/>
    <w:rsid w:val="00ED3E2C"/>
    <w:rsid w:val="00EE3901"/>
    <w:rsid w:val="00EE3A1D"/>
    <w:rsid w:val="00F00631"/>
    <w:rsid w:val="00F033DA"/>
    <w:rsid w:val="00F5658D"/>
    <w:rsid w:val="00F6300E"/>
    <w:rsid w:val="00F729A1"/>
    <w:rsid w:val="00F802F8"/>
    <w:rsid w:val="00F926FB"/>
    <w:rsid w:val="00F96AD9"/>
    <w:rsid w:val="00FD7DDD"/>
    <w:rsid w:val="00FE0CC4"/>
    <w:rsid w:val="00FF3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7D3A"/>
    <w:pPr>
      <w:spacing w:line="276" w:lineRule="auto"/>
    </w:pPr>
    <w:rPr>
      <w:rFonts w:eastAsia="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D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82D8A"/>
  </w:style>
  <w:style w:type="paragraph" w:styleId="Piedepgina">
    <w:name w:val="footer"/>
    <w:basedOn w:val="Normal"/>
    <w:link w:val="PiedepginaCar"/>
    <w:uiPriority w:val="99"/>
    <w:unhideWhenUsed/>
    <w:rsid w:val="00882D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82D8A"/>
  </w:style>
  <w:style w:type="paragraph" w:styleId="Textodeglobo">
    <w:name w:val="Balloon Text"/>
    <w:basedOn w:val="Normal"/>
    <w:link w:val="TextodegloboCar"/>
    <w:uiPriority w:val="99"/>
    <w:semiHidden/>
    <w:unhideWhenUsed/>
    <w:rsid w:val="00882D8A"/>
    <w:pPr>
      <w:spacing w:line="240" w:lineRule="auto"/>
    </w:pPr>
    <w:rPr>
      <w:rFonts w:ascii="Tahoma" w:eastAsia="Times New Roman" w:hAnsi="Tahoma"/>
      <w:sz w:val="16"/>
      <w:szCs w:val="16"/>
    </w:rPr>
  </w:style>
  <w:style w:type="character" w:customStyle="1" w:styleId="TextodegloboCar">
    <w:name w:val="Texto de globo Car"/>
    <w:link w:val="Textodeglobo"/>
    <w:uiPriority w:val="99"/>
    <w:semiHidden/>
    <w:rsid w:val="00882D8A"/>
    <w:rPr>
      <w:rFonts w:ascii="Tahoma" w:hAnsi="Tahoma" w:cs="Tahoma"/>
      <w:sz w:val="16"/>
      <w:szCs w:val="16"/>
    </w:rPr>
  </w:style>
  <w:style w:type="character" w:styleId="Hipervnculo">
    <w:name w:val="Hyperlink"/>
    <w:uiPriority w:val="99"/>
    <w:unhideWhenUsed/>
    <w:rsid w:val="00882D8A"/>
    <w:rPr>
      <w:color w:val="0000FF"/>
      <w:u w:val="single"/>
    </w:rPr>
  </w:style>
  <w:style w:type="character" w:styleId="nfasis">
    <w:name w:val="Emphasis"/>
    <w:qFormat/>
    <w:rsid w:val="007F2AE4"/>
    <w:rPr>
      <w:i/>
      <w:iCs/>
    </w:rPr>
  </w:style>
  <w:style w:type="paragraph" w:customStyle="1" w:styleId="Default">
    <w:name w:val="Default"/>
    <w:rsid w:val="007F2AE4"/>
    <w:pPr>
      <w:suppressAutoHyphens/>
      <w:autoSpaceDE w:val="0"/>
    </w:pPr>
    <w:rPr>
      <w:rFonts w:cs="Arial"/>
      <w:color w:val="000000"/>
      <w:sz w:val="24"/>
      <w:szCs w:val="24"/>
      <w:lang w:eastAsia="ar-SA"/>
    </w:rPr>
  </w:style>
  <w:style w:type="table" w:styleId="Tablaconcuadrcula">
    <w:name w:val="Table Grid"/>
    <w:basedOn w:val="Tablanormal"/>
    <w:uiPriority w:val="59"/>
    <w:rsid w:val="007B2A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55C6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www.facebook.com/pahgranadastopdesahucios" TargetMode="External"/><Relationship Id="rId5" Type="http://schemas.openxmlformats.org/officeDocument/2006/relationships/hyperlink" Target="mailto:info@afectadosporlahipotecagranada.com"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Formato-de-p&#225;gina-&#250;nica-97-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31AA-06EF-4D2A-ACDA-911EFD6C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Formato-de-página-única-97-2003</Template>
  <TotalTime>6</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Links>
    <vt:vector size="12" baseType="variant">
      <vt:variant>
        <vt:i4>4784221</vt:i4>
      </vt:variant>
      <vt:variant>
        <vt:i4>9</vt:i4>
      </vt:variant>
      <vt:variant>
        <vt:i4>0</vt:i4>
      </vt:variant>
      <vt:variant>
        <vt:i4>5</vt:i4>
      </vt:variant>
      <vt:variant>
        <vt:lpwstr>https://www.facebook.com/pahgranadastopdesahucios</vt:lpwstr>
      </vt:variant>
      <vt:variant>
        <vt:lpwstr/>
      </vt:variant>
      <vt:variant>
        <vt:i4>8257605</vt:i4>
      </vt:variant>
      <vt:variant>
        <vt:i4>6</vt:i4>
      </vt:variant>
      <vt:variant>
        <vt:i4>0</vt:i4>
      </vt:variant>
      <vt:variant>
        <vt:i4>5</vt:i4>
      </vt:variant>
      <vt:variant>
        <vt:lpwstr>mailto:info@afectadosporlahipotecagranada.com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2016-07-25T16:17:00Z</cp:lastPrinted>
  <dcterms:created xsi:type="dcterms:W3CDTF">2020-04-10T09:46:00Z</dcterms:created>
  <dcterms:modified xsi:type="dcterms:W3CDTF">2020-04-13T16:10:00Z</dcterms:modified>
</cp:coreProperties>
</file>